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מדדים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עיקריים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בארה</w:t>
      </w:r>
      <w:r w:rsidDel="00000000" w:rsidR="00000000" w:rsidRPr="00000000">
        <w:rPr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b w:val="1"/>
          <w:sz w:val="32"/>
          <w:szCs w:val="32"/>
          <w:rtl w:val="1"/>
        </w:rPr>
        <w:t xml:space="preserve">ב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S p 500</w:t>
      </w:r>
    </w:p>
    <w:p w:rsidR="00000000" w:rsidDel="00000000" w:rsidP="00000000" w:rsidRDefault="00000000" w:rsidRPr="00000000" w14:paraId="00000003">
      <w:pPr>
        <w:bidi w:val="1"/>
        <w:ind w:left="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500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האמריקאית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בריאות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פיננסים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דוגמאות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-10 </w:t>
      </w:r>
      <w:r w:rsidDel="00000000" w:rsidR="00000000" w:rsidRPr="00000000">
        <w:rPr>
          <w:b w:val="1"/>
          <w:rtl w:val="1"/>
        </w:rPr>
        <w:t xml:space="preserve">מניות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עיקריות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Apple (AAPL)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ומובילת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הסלולריים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Microsoft (MSFT)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מפתחת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Windows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Amazon (AMZN)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ענקית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האלקטרוני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Tesla (TSLA)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Berkshire Hathaway (BRK.B)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NVIDIA (NVDA)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בכרטיסי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Meta Platforms (META)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Facebook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Johnson &amp; Johnson (JNJ)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והמכשור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הרפואי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Visa (V)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כרטיסי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פיננסיים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Procter &amp; Gamble (PG)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צרכניים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Dow Jones Industrial Average (DJIA)</w:t>
      </w:r>
    </w:p>
    <w:p w:rsidR="00000000" w:rsidDel="00000000" w:rsidP="00000000" w:rsidRDefault="00000000" w:rsidRPr="00000000" w14:paraId="00000013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שייצגו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האמריקאית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הוותיקות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והמובילות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דוגמאות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-10 </w:t>
      </w:r>
      <w:r w:rsidDel="00000000" w:rsidR="00000000" w:rsidRPr="00000000">
        <w:rPr>
          <w:b w:val="1"/>
          <w:rtl w:val="1"/>
        </w:rPr>
        <w:t xml:space="preserve">מניות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עיקריות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Apple (AAPL)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Microsoft (MSFT)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והמשפיעות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Coca-Cola (KO)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מותג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IBM (IBM)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והענן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McDonald's (MCD)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Chevron (CVX)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Visa (V)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תשלומים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Disney (DIS)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ופארקים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Walmart (WMT)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קמעונאית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Home Depot (HD)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קמעונאית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ושיפוצים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NASDAQ Composite</w:t>
      </w:r>
    </w:p>
    <w:p w:rsidR="00000000" w:rsidDel="00000000" w:rsidP="00000000" w:rsidRDefault="00000000" w:rsidRPr="00000000" w14:paraId="00000021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NASDAQ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ביוטכנולוגיה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דוגמאות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-10 </w:t>
      </w:r>
      <w:r w:rsidDel="00000000" w:rsidR="00000000" w:rsidRPr="00000000">
        <w:rPr>
          <w:b w:val="1"/>
          <w:rtl w:val="1"/>
        </w:rPr>
        <w:t xml:space="preserve">מניות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עיקריות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Apple (AAPL)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Microsoft (MSFT)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Tesla (TSLA)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NVIDIA (NVDA)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המלאכותית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Alphabet (GOOGL)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גוגל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Amazon (AMZN)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האלקטרוני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שמוביל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Meta Platforms (META)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Facebook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Netflix (NFLX)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ענקית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הסטרימינג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Adobe (ADBE)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וגרפיקה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Intel (INTC)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.-</w:t>
      </w:r>
      <w:r w:rsidDel="00000000" w:rsidR="00000000" w:rsidRPr="00000000">
        <w:rPr>
          <w:rtl w:val="1"/>
        </w:rPr>
        <w:t xml:space="preserve">פעם</w:t>
      </w:r>
    </w:p>
    <w:p w:rsidR="00000000" w:rsidDel="00000000" w:rsidP="00000000" w:rsidRDefault="00000000" w:rsidRPr="00000000" w14:paraId="0000002D">
      <w:pPr>
        <w:bidi w:val="1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Russell 2000</w:t>
      </w:r>
    </w:p>
    <w:p w:rsidR="00000000" w:rsidDel="00000000" w:rsidP="00000000" w:rsidRDefault="00000000" w:rsidRPr="00000000" w14:paraId="0000002F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2,000 </w:t>
      </w:r>
      <w:r w:rsidDel="00000000" w:rsidR="00000000" w:rsidRPr="00000000">
        <w:rPr>
          <w:rtl w:val="1"/>
        </w:rPr>
        <w:t xml:space="preserve">המניות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Russell</w:t>
      </w:r>
      <w:r w:rsidDel="00000000" w:rsidR="00000000" w:rsidRPr="00000000">
        <w:rPr>
          <w:rtl w:val="1"/>
        </w:rPr>
        <w:t xml:space="preserve"> 3000. </w:t>
      </w:r>
      <w:r w:rsidDel="00000000" w:rsidR="00000000" w:rsidRPr="00000000">
        <w:rPr>
          <w:rtl w:val="1"/>
        </w:rPr>
        <w:t xml:space="preserve">המדד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הקטנות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פוטנציאל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ind w:left="720" w:firstLine="0"/>
        <w:rPr>
          <w:b w:val="1"/>
        </w:rPr>
      </w:pPr>
      <w:r w:rsidDel="00000000" w:rsidR="00000000" w:rsidRPr="00000000">
        <w:rPr>
          <w:b w:val="1"/>
          <w:rtl w:val="1"/>
        </w:rPr>
        <w:t xml:space="preserve">דוגמאות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-10 </w:t>
      </w:r>
      <w:r w:rsidDel="00000000" w:rsidR="00000000" w:rsidRPr="00000000">
        <w:rPr>
          <w:b w:val="1"/>
          <w:rtl w:val="1"/>
        </w:rPr>
        <w:t xml:space="preserve">מניות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עיקריות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Enphase Energy (ENPH)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מתחדשת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Avnet (AVT)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ספקית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Six Flags (SIX)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פארקים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Ball Corporation (BALL)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קופסאות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Sunrun (RUN)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מתקין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סולארית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Penn National Gaming (PENN)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והבידור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Cognizant Technology Solutions (CTSH)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ספקית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Ciena Corporation (CIEN)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ספקית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Vera Bradley (VRA)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מותג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ונסיעות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Tenneco (TEN)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DAX (Deutscher Aktienindex)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הדקס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40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המדד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הרכב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האנרגיה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הכימיה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הפיננסים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דוגמאות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-10 </w:t>
      </w:r>
      <w:r w:rsidDel="00000000" w:rsidR="00000000" w:rsidRPr="00000000">
        <w:rPr>
          <w:b w:val="1"/>
          <w:rtl w:val="1"/>
        </w:rPr>
        <w:t xml:space="preserve">מניות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עיקריות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SAP (SAP)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ארגוניים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Volkswagen (VOW3)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Siemens (SIE)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הנדסה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אוטומציה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Allianz (ALV)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ופיננסים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Deutsche Telekom (DTE)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ספקית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BMW (BMW)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יוקרתיים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BASF (BAS)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כימיקלים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Linde (LIN)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התעשייתיים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Merck (MRK)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והתרופות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Adidas (ADS)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והנעלה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הדקס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באיחוד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2. Euro Stoxx 50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Euro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Stoxx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Eurozone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ספרד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איטליה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דוגמאות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-10 </w:t>
      </w:r>
      <w:r w:rsidDel="00000000" w:rsidR="00000000" w:rsidRPr="00000000">
        <w:rPr>
          <w:b w:val="1"/>
          <w:rtl w:val="1"/>
        </w:rPr>
        <w:t xml:space="preserve">מניות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עיקריות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ASML (ASML)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הולנדית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ליתוגרפיה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השבבים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L'Oréal (OR)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קוסמטיקה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צרפתית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Siemens (SIE)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SAP (SAP)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Sanofi (SAN)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וביוטכנולוגיה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צרפתית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Volkswagen (VOW3)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TotalEnergies (TOT)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צרפתית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Nestlé (NESN)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Unilever (ULVR)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bidi w:val="1"/>
        <w:ind w:left="720" w:hanging="360"/>
        <w:rPr/>
      </w:pPr>
      <w:r w:rsidDel="00000000" w:rsidR="00000000" w:rsidRPr="00000000">
        <w:rPr>
          <w:b w:val="1"/>
          <w:rtl w:val="0"/>
        </w:rPr>
        <w:t xml:space="preserve">BMW (BMW)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יצרנית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Euro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Stoxx</w:t>
      </w:r>
      <w:r w:rsidDel="00000000" w:rsidR="00000000" w:rsidRPr="00000000">
        <w:rPr>
          <w:rtl w:val="1"/>
        </w:rPr>
        <w:t xml:space="preserve"> 50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אינדיקטור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האירופי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פיננסים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מזון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פארמה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המדדים</w:t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1"/>
        </w:rPr>
        <w:t xml:space="preserve">טרמפ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קטנים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ראסל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1"/>
        </w:rPr>
        <w:t xml:space="preserve">טרמפ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באוקראניה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יורו</w:t>
      </w:r>
      <w:r w:rsidDel="00000000" w:rsidR="00000000" w:rsidRPr="00000000">
        <w:rPr>
          <w:rtl w:val="1"/>
        </w:rPr>
        <w:t xml:space="preserve"> 50,</w:t>
      </w:r>
      <w:r w:rsidDel="00000000" w:rsidR="00000000" w:rsidRPr="00000000">
        <w:rPr>
          <w:rtl w:val="1"/>
        </w:rPr>
        <w:t xml:space="preserve">דקס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מטבע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יורו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נסדק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נאמנות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0"/>
        </w:rPr>
        <w:t xml:space="preserve">etf</w:t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1"/>
        </w:rPr>
        <w:t xml:space="preserve">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בנלאומיות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הצמיחה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הגולמי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tblW w:w="2234.0" w:type="dxa"/>
        <w:jc w:val="left"/>
        <w:tblLayout w:type="fixed"/>
        <w:tblLook w:val="0400"/>
      </w:tblPr>
      <w:tblGrid>
        <w:gridCol w:w="522"/>
        <w:gridCol w:w="1712"/>
        <w:tblGridChange w:id="0">
          <w:tblGrid>
            <w:gridCol w:w="522"/>
            <w:gridCol w:w="1712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שנה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הצמיחה</w:t>
            </w:r>
            <w:r w:rsidDel="00000000" w:rsidR="00000000" w:rsidRPr="00000000">
              <w:rPr>
                <w:b w:val="1"/>
                <w:rtl w:val="1"/>
              </w:rPr>
              <w:t xml:space="preserve"> (%)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-5.00%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2.70%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1.90%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-0.30%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-0.20%</w:t>
            </w:r>
          </w:p>
        </w:tc>
      </w:tr>
    </w:tbl>
    <w:p w:rsidR="00000000" w:rsidDel="00000000" w:rsidP="00000000" w:rsidRDefault="00000000" w:rsidRPr="00000000" w14:paraId="0000006F">
      <w:pPr>
        <w:bidi w:val="1"/>
        <w:rPr/>
      </w:pP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הגרמנית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Destatis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070">
      <w:pPr>
        <w:bidi w:val="1"/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Investing.com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דאקס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75%</w:t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l.investing.com/economic-calendar/german-full-year-gdp-1470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